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EB41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</w:t>
      </w:r>
      <w:r w:rsidR="00BC4D5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525BC" w:rsidRPr="008525BC">
        <w:rPr>
          <w:b/>
          <w:noProof/>
          <w:sz w:val="24"/>
        </w:rPr>
        <w:t>R4-2412445</w:t>
      </w:r>
    </w:p>
    <w:p w14:paraId="7CB45193" w14:textId="42842EAB" w:rsidR="001E41F3" w:rsidRDefault="00BC4D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CB2285" w:rsidRPr="00CB22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CB2285" w:rsidRPr="00CB2285">
        <w:rPr>
          <w:b/>
          <w:noProof/>
          <w:sz w:val="24"/>
        </w:rPr>
        <w:t xml:space="preserve">,  </w:t>
      </w:r>
      <w:r>
        <w:rPr>
          <w:b/>
          <w:noProof/>
          <w:sz w:val="24"/>
        </w:rPr>
        <w:t>19</w:t>
      </w:r>
      <w:r w:rsidR="00CB2285" w:rsidRPr="00CB228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</w:t>
      </w:r>
      <w:r w:rsidR="00CB2285" w:rsidRPr="00CB228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3rd</w:t>
      </w:r>
      <w:r w:rsidR="00CB2285" w:rsidRPr="00CB2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B2285" w:rsidRPr="00CB2285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BC4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23EC2" w:rsidR="001E41F3" w:rsidRPr="00410371" w:rsidRDefault="007317E9" w:rsidP="00547111">
            <w:pPr>
              <w:pStyle w:val="CRCoverPage"/>
              <w:spacing w:after="0"/>
              <w:rPr>
                <w:noProof/>
              </w:rPr>
            </w:pPr>
            <w:r w:rsidRPr="007317E9">
              <w:rPr>
                <w:b/>
                <w:noProof/>
                <w:sz w:val="28"/>
              </w:rPr>
              <w:t>00</w:t>
            </w:r>
            <w:r w:rsidR="00C81D9C" w:rsidRPr="00C81D9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140D" w:rsidR="001E41F3" w:rsidRPr="00410371" w:rsidRDefault="00C307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10774" w:rsidR="001E41F3" w:rsidRPr="00410371" w:rsidRDefault="00BC4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</w:t>
              </w:r>
              <w:r w:rsidR="00736299">
                <w:rPr>
                  <w:b/>
                  <w:noProof/>
                  <w:sz w:val="28"/>
                </w:rPr>
                <w:t>5</w:t>
              </w:r>
              <w:r w:rsidR="00B8682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EA30D" w:rsidR="001E41F3" w:rsidRDefault="009A0D93">
            <w:pPr>
              <w:pStyle w:val="CRCoverPage"/>
              <w:spacing w:after="0"/>
              <w:ind w:left="100"/>
              <w:rPr>
                <w:noProof/>
              </w:rPr>
            </w:pPr>
            <w:r w:rsidRPr="009A0D93">
              <w:t>(</w:t>
            </w:r>
            <w:proofErr w:type="spellStart"/>
            <w:r w:rsidR="00296CDE" w:rsidRPr="00296CDE">
              <w:t>LTE_NBIoT_eMTC_NTN_req</w:t>
            </w:r>
            <w:proofErr w:type="spellEnd"/>
            <w:r w:rsidR="00296CDE" w:rsidRPr="00296CDE">
              <w:t>-Core</w:t>
            </w:r>
            <w:r w:rsidRPr="009A0D93">
              <w:t>) CR to 36.102 In-band NB-IoT NTN deployment with N</w:t>
            </w:r>
            <w:r w:rsidR="00C81D9C">
              <w:t>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3D991F" w:rsidR="001E41F3" w:rsidRDefault="00BC4D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62B9">
                <w:rPr>
                  <w:noProof/>
                </w:rPr>
                <w:t>Inmarsat</w:t>
              </w:r>
              <w:r w:rsidR="008F04CF">
                <w:rPr>
                  <w:noProof/>
                </w:rPr>
                <w:t xml:space="preserve">, Viasat, </w:t>
              </w:r>
              <w:r w:rsidR="009A0F45">
                <w:rPr>
                  <w:noProof/>
                </w:rPr>
                <w:t>Omnispace</w:t>
              </w:r>
              <w:r w:rsidR="009A0D93">
                <w:rPr>
                  <w:noProof/>
                </w:rPr>
                <w:t>,</w:t>
              </w:r>
              <w:r w:rsidR="009A0F45">
                <w:rPr>
                  <w:noProof/>
                </w:rPr>
                <w:t xml:space="preserve"> Terrestar Solutions,</w:t>
              </w:r>
              <w:r w:rsidR="00381FA9">
                <w:rPr>
                  <w:noProof/>
                </w:rPr>
                <w:t xml:space="preserve"> Thuraya,</w:t>
              </w:r>
              <w:r w:rsidR="00C562B9">
                <w:rPr>
                  <w:noProof/>
                </w:rPr>
                <w:t xml:space="preserve"> </w:t>
              </w:r>
              <w:r w:rsidR="009A0F45">
                <w:rPr>
                  <w:noProof/>
                </w:rPr>
                <w:t xml:space="preserve">Ligado </w:t>
              </w:r>
              <w:r w:rsidR="00C562B9">
                <w:rPr>
                  <w:noProof/>
                </w:rPr>
                <w:t>Networks, Echo</w:t>
              </w:r>
              <w:r w:rsidR="00FE2F3D">
                <w:rPr>
                  <w:noProof/>
                </w:rPr>
                <w:t>S</w:t>
              </w:r>
              <w:r w:rsidR="00C562B9">
                <w:rPr>
                  <w:noProof/>
                </w:rPr>
                <w:t>tar,</w:t>
              </w:r>
              <w:r w:rsidR="00141DCB">
                <w:rPr>
                  <w:noProof/>
                </w:rPr>
                <w:t xml:space="preserve"> Thales</w:t>
              </w:r>
              <w:r w:rsidR="009A0D93">
                <w:rPr>
                  <w:noProof/>
                </w:rPr>
                <w:t xml:space="preserve">, Skyworks, </w:t>
              </w:r>
              <w:r w:rsidR="00870AED">
                <w:rPr>
                  <w:noProof/>
                </w:rPr>
                <w:t>[</w:t>
              </w:r>
              <w:r w:rsidR="009A0D93">
                <w:rPr>
                  <w:noProof/>
                </w:rPr>
                <w:t>Apple</w:t>
              </w:r>
              <w:r w:rsidR="00870AED">
                <w:rPr>
                  <w:noProof/>
                </w:rPr>
                <w:t>]</w:t>
              </w:r>
              <w:r w:rsidR="00C562B9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BC4D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A3E0E" w:rsidR="001E41F3" w:rsidRDefault="00045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AB005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</w:t>
            </w:r>
            <w:r w:rsidR="00C81D9C">
              <w:rPr>
                <w:noProof/>
              </w:rPr>
              <w:t>8</w:t>
            </w:r>
            <w:r w:rsidR="008F04CF">
              <w:rPr>
                <w:noProof/>
              </w:rPr>
              <w:t>-</w:t>
            </w:r>
            <w:r w:rsidR="0001735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1FF18" w:rsidR="001E41F3" w:rsidRDefault="00BC4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BC4D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00A0A" w14:textId="77777777" w:rsidR="001E41F3" w:rsidRDefault="00A3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</w:t>
            </w:r>
            <w:r w:rsidR="00B81D0A">
              <w:rPr>
                <w:noProof/>
              </w:rPr>
              <w:t xml:space="preserve"> supports </w:t>
            </w:r>
            <w:r>
              <w:rPr>
                <w:noProof/>
              </w:rPr>
              <w:t xml:space="preserve">In-band </w:t>
            </w:r>
            <w:r w:rsidR="00B81D0A">
              <w:rPr>
                <w:noProof/>
              </w:rPr>
              <w:t xml:space="preserve">and guard-band </w:t>
            </w:r>
            <w:r>
              <w:rPr>
                <w:noProof/>
              </w:rPr>
              <w:t>deployments with LTE</w:t>
            </w:r>
            <w:r w:rsidR="0064404F">
              <w:rPr>
                <w:noProof/>
              </w:rPr>
              <w:t xml:space="preserve"> carriers since</w:t>
            </w:r>
            <w:r w:rsidR="00DE59D4">
              <w:rPr>
                <w:noProof/>
              </w:rPr>
              <w:t xml:space="preserve"> Rel-13 and</w:t>
            </w:r>
            <w:r w:rsidR="000455AB">
              <w:rPr>
                <w:noProof/>
              </w:rPr>
              <w:t xml:space="preserve"> in-band</w:t>
            </w:r>
            <w:r w:rsidR="00DE59D4">
              <w:rPr>
                <w:noProof/>
              </w:rPr>
              <w:t xml:space="preserve"> with NR carriers since Rel-15</w:t>
            </w:r>
            <w:r w:rsidR="0078231D">
              <w:rPr>
                <w:noProof/>
              </w:rPr>
              <w:t xml:space="preserve">.  </w:t>
            </w:r>
            <w:r w:rsidR="0064404F">
              <w:rPr>
                <w:noProof/>
              </w:rPr>
              <w:t xml:space="preserve"> </w:t>
            </w:r>
            <w:r w:rsidR="006F10DC">
              <w:rPr>
                <w:noProof/>
              </w:rPr>
              <w:t>Based on the conclusions of TR 37.824</w:t>
            </w:r>
            <w:r w:rsidR="006E4D7C">
              <w:rPr>
                <w:noProof/>
              </w:rPr>
              <w:t xml:space="preserve">, of </w:t>
            </w:r>
            <w:r w:rsidR="005C652F">
              <w:rPr>
                <w:noProof/>
              </w:rPr>
              <w:t xml:space="preserve">the approved TP in </w:t>
            </w:r>
            <w:r w:rsidR="005C652F" w:rsidRPr="005C652F">
              <w:rPr>
                <w:noProof/>
              </w:rPr>
              <w:t>R4-2220812</w:t>
            </w:r>
            <w:r w:rsidR="004509DA">
              <w:rPr>
                <w:noProof/>
              </w:rPr>
              <w:t>,</w:t>
            </w:r>
            <w:r w:rsidR="006E4D7C">
              <w:rPr>
                <w:noProof/>
              </w:rPr>
              <w:t xml:space="preserve"> </w:t>
            </w:r>
            <w:r w:rsidR="00A55551">
              <w:rPr>
                <w:noProof/>
              </w:rPr>
              <w:t>the analys</w:t>
            </w:r>
            <w:r w:rsidR="004509DA">
              <w:rPr>
                <w:noProof/>
              </w:rPr>
              <w:t xml:space="preserve">is in </w:t>
            </w:r>
            <w:r w:rsidR="004509DA" w:rsidRPr="004509DA">
              <w:rPr>
                <w:noProof/>
              </w:rPr>
              <w:t>R4-2216637</w:t>
            </w:r>
            <w:r w:rsidR="002F522F">
              <w:rPr>
                <w:noProof/>
              </w:rPr>
              <w:t xml:space="preserve">, </w:t>
            </w:r>
            <w:r w:rsidR="006E4D7C">
              <w:rPr>
                <w:noProof/>
              </w:rPr>
              <w:t xml:space="preserve">and after further analysis it has been concluded that the agreement </w:t>
            </w:r>
            <w:r w:rsidR="003E16E3">
              <w:rPr>
                <w:noProof/>
              </w:rPr>
              <w:t xml:space="preserve">based on the approved TP </w:t>
            </w:r>
            <w:r w:rsidR="003E16E3" w:rsidRPr="005C652F">
              <w:rPr>
                <w:noProof/>
              </w:rPr>
              <w:t>R4-2220812</w:t>
            </w:r>
            <w:r w:rsidR="003E16E3">
              <w:rPr>
                <w:noProof/>
              </w:rPr>
              <w:t xml:space="preserve"> breaks both backwards compatibility with Terrestrial UE implementations, requiring a new behaviour that cannot be predicted, </w:t>
            </w:r>
            <w:r w:rsidR="0013587C">
              <w:rPr>
                <w:noProof/>
              </w:rPr>
              <w:t>as well as forward compatibility with in-band deployment with NR NTN (or any potential EUTRA or eMTC NTN deployment)</w:t>
            </w:r>
            <w:r w:rsidR="0010121B">
              <w:rPr>
                <w:noProof/>
              </w:rPr>
              <w:t>.</w:t>
            </w:r>
          </w:p>
          <w:p w14:paraId="49F00686" w14:textId="77777777" w:rsidR="00CF7B07" w:rsidRDefault="00CF7B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D277C6" w:rsidR="00CF7B07" w:rsidRDefault="00CF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 to revert to the default equation for calculating NB-IoT Carrier Frequency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58690" w14:textId="77777777" w:rsidR="001E41F3" w:rsidRDefault="003E0057" w:rsidP="00A33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671D5">
              <w:rPr>
                <w:noProof/>
              </w:rPr>
              <w:t xml:space="preserve">Essential correction to NB-IoT </w:t>
            </w:r>
            <w:r w:rsidR="00F671D5" w:rsidRPr="00F671D5">
              <w:rPr>
                <w:noProof/>
              </w:rPr>
              <w:t>NTN</w:t>
            </w:r>
            <w:r w:rsidR="00F671D5">
              <w:rPr>
                <w:noProof/>
              </w:rPr>
              <w:t xml:space="preserve"> </w:t>
            </w:r>
            <w:r w:rsidR="00ED42A3">
              <w:rPr>
                <w:noProof/>
              </w:rPr>
              <w:t>carrier frequency formula to align with TS 36.101</w:t>
            </w:r>
            <w:r w:rsidR="00A337E2">
              <w:rPr>
                <w:noProof/>
              </w:rPr>
              <w:t xml:space="preserve"> and remove compatibility issue with in-band deployment.</w:t>
            </w:r>
          </w:p>
          <w:p w14:paraId="31C656EC" w14:textId="318C69EA" w:rsidR="00A337E2" w:rsidRPr="00F671D5" w:rsidRDefault="00A337E2" w:rsidP="00A33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new MDL formula for Standalone Non-Anchor carrier to maintain support for 180 kHz channel spacing between Standalone Non-Anchor carriers, which was agreed R18 with the adoption of the different carrier frequency formula.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9BCFC" w14:textId="29482DD0" w:rsidR="001E41F3" w:rsidRDefault="00E055FF">
            <w:pPr>
              <w:pStyle w:val="CRCoverPage"/>
              <w:spacing w:after="0"/>
              <w:ind w:left="100"/>
              <w:rPr>
                <w:noProof/>
              </w:rPr>
            </w:pPr>
            <w:r w:rsidRPr="00F671D5">
              <w:rPr>
                <w:noProof/>
              </w:rPr>
              <w:t xml:space="preserve">If not supported by UE:  </w:t>
            </w:r>
            <w:r w:rsidR="003E0057" w:rsidRPr="00F671D5">
              <w:rPr>
                <w:noProof/>
              </w:rPr>
              <w:br/>
            </w:r>
            <w:r w:rsidR="003E0057" w:rsidRPr="00F671D5">
              <w:rPr>
                <w:noProof/>
              </w:rPr>
              <w:br/>
            </w:r>
            <w:r w:rsidR="00A337E2">
              <w:rPr>
                <w:noProof/>
              </w:rPr>
              <w:t xml:space="preserve">1)  </w:t>
            </w:r>
            <w:r w:rsidR="00DC6BA0" w:rsidRPr="00F671D5">
              <w:rPr>
                <w:noProof/>
              </w:rPr>
              <w:t xml:space="preserve">Severe break of backwards and forwards compatibility.  </w:t>
            </w:r>
            <w:r w:rsidR="00A66B2C" w:rsidRPr="00F671D5">
              <w:rPr>
                <w:noProof/>
              </w:rPr>
              <w:t>In-band deployments of NB-IoT NTN will never be possible and UE behaviour for R18-based standalone deployments will be band-specific</w:t>
            </w:r>
            <w:r w:rsidR="003E0057" w:rsidRPr="00F671D5">
              <w:rPr>
                <w:noProof/>
              </w:rPr>
              <w:t>, divergent from current TN behaviour as specified in TS 36.101 and may lead to unpredictable outcomes with certain deployment scenarios.</w:t>
            </w:r>
          </w:p>
          <w:p w14:paraId="4F90DF9E" w14:textId="01D24A7D" w:rsidR="00A337E2" w:rsidRDefault="00A337E2" w:rsidP="00A337E2">
            <w:pPr>
              <w:pStyle w:val="CRCoverPage"/>
              <w:spacing w:after="0"/>
              <w:rPr>
                <w:noProof/>
              </w:rPr>
            </w:pPr>
          </w:p>
          <w:p w14:paraId="5212C964" w14:textId="37715C94" w:rsidR="00A337E2" w:rsidRPr="00F671D5" w:rsidRDefault="00A337E2" w:rsidP="00A337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new MDL formula is not introduced, compatibility with R18 Standalone Non-Anchor Carrier 180 kHz spacing is broken </w:t>
            </w:r>
          </w:p>
          <w:p w14:paraId="5DBA384C" w14:textId="77777777" w:rsidR="003E0057" w:rsidRDefault="003E00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C0E93A6" w:rsidR="0078231D" w:rsidRDefault="00782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43787" w:rsidR="001E41F3" w:rsidRDefault="00617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AD03D2">
              <w:rPr>
                <w:noProof/>
              </w:rPr>
              <w:t>, 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0053B960" w:rsidR="001E41F3" w:rsidRDefault="00933BF4" w:rsidP="00933BF4">
      <w:pPr>
        <w:pStyle w:val="Heading3"/>
        <w:rPr>
          <w:noProof/>
        </w:rPr>
        <w:sectPr w:rsidR="001E41F3" w:rsidSect="00244468">
          <w:headerReference w:type="even" r:id="rId15"/>
          <w:footerReference w:type="even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0523C">
        <w:rPr>
          <w:color w:val="FF0000"/>
        </w:rPr>
        <w:t>&lt;&lt; START OF CHANGE &gt;&gt;</w:t>
      </w:r>
    </w:p>
    <w:p w14:paraId="6BE707AF" w14:textId="77777777" w:rsidR="00933BF4" w:rsidRPr="002505AD" w:rsidRDefault="00933BF4" w:rsidP="00933BF4">
      <w:pPr>
        <w:pStyle w:val="Heading2"/>
      </w:pPr>
      <w:bookmarkStart w:id="1" w:name="_Toc120569997"/>
      <w:bookmarkStart w:id="2" w:name="_Toc121162789"/>
      <w:bookmarkStart w:id="3" w:name="_Toc121827670"/>
      <w:bookmarkStart w:id="4" w:name="_Toc124177498"/>
      <w:bookmarkStart w:id="5" w:name="_Toc124177925"/>
      <w:bookmarkStart w:id="6" w:name="_Toc130826052"/>
      <w:bookmarkStart w:id="7" w:name="_Toc137386329"/>
      <w:bookmarkStart w:id="8" w:name="_Toc137401209"/>
      <w:bookmarkStart w:id="9" w:name="_Toc138894733"/>
      <w:bookmarkStart w:id="10" w:name="_Toc145029444"/>
      <w:bookmarkStart w:id="11" w:name="_Toc153135991"/>
      <w:bookmarkStart w:id="12" w:name="_Toc153138185"/>
      <w:bookmarkStart w:id="13" w:name="_Toc61367278"/>
      <w:bookmarkStart w:id="14" w:name="_Toc61372661"/>
      <w:bookmarkStart w:id="15" w:name="_Toc68230601"/>
      <w:bookmarkStart w:id="16" w:name="_Toc69084014"/>
      <w:bookmarkStart w:id="17" w:name="_Toc75467021"/>
      <w:bookmarkStart w:id="18" w:name="_Toc76509043"/>
      <w:bookmarkStart w:id="19" w:name="_Toc76718033"/>
      <w:bookmarkStart w:id="20" w:name="_Toc83580343"/>
      <w:bookmarkStart w:id="21" w:name="_Toc84404852"/>
      <w:bookmarkStart w:id="22" w:name="_Toc84413461"/>
      <w:bookmarkStart w:id="23" w:name="_Toc97562279"/>
      <w:bookmarkStart w:id="24" w:name="_Toc104122506"/>
      <w:bookmarkStart w:id="25" w:name="_Toc104205457"/>
      <w:bookmarkStart w:id="26" w:name="_Toc104206664"/>
      <w:bookmarkStart w:id="27" w:name="_Toc104503624"/>
      <w:bookmarkStart w:id="28" w:name="_Toc106127555"/>
      <w:bookmarkStart w:id="29" w:name="_Toc123057920"/>
      <w:bookmarkStart w:id="30" w:name="_Toc124255215"/>
      <w:bookmarkStart w:id="31" w:name="_Toc124255406"/>
      <w:bookmarkStart w:id="32" w:name="_Toc124255543"/>
      <w:bookmarkStart w:id="33" w:name="_Toc131688381"/>
      <w:bookmarkStart w:id="34" w:name="_Toc137373023"/>
      <w:bookmarkStart w:id="35" w:name="_Toc138884966"/>
      <w:bookmarkStart w:id="36" w:name="_Toc145689783"/>
      <w:bookmarkStart w:id="37" w:name="_Toc155376502"/>
      <w:r w:rsidRPr="002505AD">
        <w:lastRenderedPageBreak/>
        <w:t>3.1</w:t>
      </w:r>
      <w:r w:rsidRPr="002505AD">
        <w:tab/>
      </w:r>
      <w:bookmarkEnd w:id="1"/>
      <w:r w:rsidRPr="002505AD"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91EA59C" w14:textId="77777777" w:rsidR="00933BF4" w:rsidRPr="002505AD" w:rsidRDefault="00933BF4" w:rsidP="00933BF4">
      <w:r w:rsidRPr="002505AD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7C40DD7" w14:textId="77777777" w:rsidR="00933BF4" w:rsidRPr="002505AD" w:rsidRDefault="00933BF4" w:rsidP="00933BF4">
      <w:pPr>
        <w:tabs>
          <w:tab w:val="left" w:pos="2448"/>
          <w:tab w:val="left" w:pos="9468"/>
        </w:tabs>
        <w:rPr>
          <w:rFonts w:cs="v5.0.0"/>
          <w:snapToGrid w:val="0"/>
        </w:rPr>
      </w:pPr>
      <w:r w:rsidRPr="002505AD">
        <w:rPr>
          <w:rFonts w:cs="v5.0.0"/>
          <w:b/>
          <w:bCs/>
        </w:rPr>
        <w:t xml:space="preserve">Channel edge: </w:t>
      </w:r>
      <w:r w:rsidRPr="002505AD">
        <w:rPr>
          <w:rFonts w:cs="v5.0.0"/>
          <w:snapToGrid w:val="0"/>
        </w:rPr>
        <w:t>The lowest and highest frequency of the carrier, separated by the channel bandwidth.</w:t>
      </w:r>
    </w:p>
    <w:p w14:paraId="4753C579" w14:textId="77777777" w:rsidR="00933BF4" w:rsidRPr="002505AD" w:rsidRDefault="00933BF4" w:rsidP="00933BF4">
      <w:pPr>
        <w:rPr>
          <w:rFonts w:cstheme="minorBidi"/>
        </w:rPr>
      </w:pPr>
      <w:r w:rsidRPr="002505AD">
        <w:rPr>
          <w:b/>
        </w:rPr>
        <w:t>Channel bandwidth:</w:t>
      </w:r>
      <w:r w:rsidRPr="002505AD">
        <w:t xml:space="preserve"> The RF bandwidth supporting a single E-UTRA RF carrier with the transmission bandwidth configured in the uplink or downlink of a cell. The channel bandwidth is measured in MHz and is used as a reference for transmitter and receiver RF requirements.</w:t>
      </w:r>
    </w:p>
    <w:p w14:paraId="73CBA106" w14:textId="77777777" w:rsidR="00933BF4" w:rsidRPr="002505AD" w:rsidRDefault="00933BF4" w:rsidP="00933BF4">
      <w:r w:rsidRPr="002505AD">
        <w:rPr>
          <w:b/>
        </w:rPr>
        <w:t>Category NB1/NB2</w:t>
      </w:r>
      <w:r w:rsidRPr="002505AD">
        <w:rPr>
          <w:rFonts w:eastAsia="Malgun Gothic"/>
          <w:b/>
        </w:rPr>
        <w:t xml:space="preserve"> </w:t>
      </w:r>
      <w:r w:rsidRPr="002505AD">
        <w:rPr>
          <w:b/>
        </w:rPr>
        <w:t>stand-alone operation</w:t>
      </w:r>
      <w:r w:rsidRPr="002505AD">
        <w:t>: category NB1/NB2 is operating standalone when it utilizes its own spectrum, for example the spectrum used by GERAN systems as a replacement of one or more GSM carriers, as well as scattered spectrum for potential IoT deployment.</w:t>
      </w:r>
    </w:p>
    <w:p w14:paraId="65ED5CDC" w14:textId="4F6773C2" w:rsidR="00933BF4" w:rsidRPr="00A337E2" w:rsidDel="00A337E2" w:rsidRDefault="00933BF4" w:rsidP="00933BF4">
      <w:pPr>
        <w:rPr>
          <w:del w:id="38" w:author="Luca Lodigiani" w:date="2024-08-09T17:14:00Z" w16du:dateUtc="2024-08-09T16:14:00Z"/>
        </w:rPr>
      </w:pPr>
      <w:del w:id="39" w:author="Luca Lodigiani" w:date="2024-08-09T17:14:00Z" w16du:dateUtc="2024-08-09T16:14:00Z">
        <w:r w:rsidRPr="00A337E2" w:rsidDel="00A337E2">
          <w:rPr>
            <w:b/>
          </w:rPr>
          <w:delText>Category NB1/NB2</w:delText>
        </w:r>
        <w:r w:rsidRPr="00A337E2" w:rsidDel="00A337E2">
          <w:delText xml:space="preserve"> </w:delText>
        </w:r>
        <w:r w:rsidRPr="00A337E2" w:rsidDel="00A337E2">
          <w:rPr>
            <w:b/>
          </w:rPr>
          <w:delText>guard band operation:</w:delText>
        </w:r>
        <w:r w:rsidRPr="00A337E2" w:rsidDel="00A337E2">
          <w:delText xml:space="preserve"> category NB1/NB2 is operating in guard band when it utilizes the unused resource block(s) within a E-UTRA carrier’s guard-band.</w:delText>
        </w:r>
      </w:del>
    </w:p>
    <w:p w14:paraId="5E106386" w14:textId="77777777" w:rsidR="00933BF4" w:rsidRPr="002505AD" w:rsidRDefault="00933BF4" w:rsidP="00933BF4">
      <w:r w:rsidRPr="002505AD">
        <w:rPr>
          <w:b/>
        </w:rPr>
        <w:t>Category NB1/NB2</w:t>
      </w:r>
      <w:r w:rsidRPr="002505AD">
        <w:t xml:space="preserve"> </w:t>
      </w:r>
      <w:r w:rsidRPr="002505AD">
        <w:rPr>
          <w:b/>
        </w:rPr>
        <w:t>in-band operation:</w:t>
      </w:r>
      <w:r w:rsidRPr="002505AD">
        <w:t xml:space="preserve"> category NB1/NB2 is operating in-band when it utilizes the resource block(s) within a normal E-UTRA carrier or within a normal NR carrier plus 15</w:t>
      </w:r>
      <w:r w:rsidRPr="002505AD">
        <w:rPr>
          <w:lang w:val="en-US"/>
        </w:rPr>
        <w:t> </w:t>
      </w:r>
      <w:r w:rsidRPr="002505AD">
        <w:t>kHz at each edge (and not within NR minimum guard band).</w:t>
      </w:r>
    </w:p>
    <w:p w14:paraId="35C6F255" w14:textId="77777777" w:rsidR="00933BF4" w:rsidRPr="002505AD" w:rsidRDefault="00933BF4" w:rsidP="00933BF4">
      <w:r w:rsidRPr="002505AD">
        <w:rPr>
          <w:b/>
        </w:rPr>
        <w:t>Geosynchronous Earth Orbit:</w:t>
      </w:r>
      <w:r w:rsidRPr="002505AD">
        <w:t xml:space="preserve"> Earth-centred orbit at approximately 35786 kilometres above Earth's surface and synchronised with Earth's rotation. A geostationary orbit is a non-inclined geosynchronous orbit, i.e. in the Earth’s equator plane.</w:t>
      </w:r>
    </w:p>
    <w:p w14:paraId="2C4B7AE0" w14:textId="77777777" w:rsidR="00933BF4" w:rsidRPr="002505AD" w:rsidRDefault="00933BF4" w:rsidP="00933BF4">
      <w:r w:rsidRPr="002505AD">
        <w:rPr>
          <w:b/>
        </w:rPr>
        <w:t xml:space="preserve">Low Earth Orbit: </w:t>
      </w:r>
      <w:r w:rsidRPr="002505AD">
        <w:t>Orbit around the Earth with an altitude between 300 km, and 1500 km.</w:t>
      </w:r>
    </w:p>
    <w:p w14:paraId="66B5AE9A" w14:textId="77777777" w:rsidR="00933BF4" w:rsidRPr="002505AD" w:rsidRDefault="00933BF4" w:rsidP="00933BF4">
      <w:r w:rsidRPr="002505AD">
        <w:rPr>
          <w:b/>
        </w:rPr>
        <w:t xml:space="preserve">Satellite: </w:t>
      </w:r>
      <w:r w:rsidRPr="002505AD">
        <w:t>A space-borne vehicle embarking a bent pipe payload or a regenerative payload telecommunication transmitter, placed into Low-Earth Orbit (LEO), Medium-Earth Orbit (MEO), or Geo</w:t>
      </w:r>
      <w:r>
        <w:t>synchronous</w:t>
      </w:r>
      <w:r w:rsidRPr="002505AD">
        <w:t xml:space="preserve"> Earth Orbit (GEO).</w:t>
      </w:r>
    </w:p>
    <w:p w14:paraId="62F831DE" w14:textId="77777777" w:rsidR="00933BF4" w:rsidRPr="002505AD" w:rsidRDefault="00933BF4" w:rsidP="00933BF4">
      <w:pPr>
        <w:rPr>
          <w:b/>
        </w:rPr>
      </w:pPr>
      <w:r w:rsidRPr="002505AD">
        <w:rPr>
          <w:b/>
        </w:rPr>
        <w:t xml:space="preserve">Satellite Access Node: </w:t>
      </w:r>
      <w:r w:rsidRPr="002505AD">
        <w:t>see definition in TS 36.108 [2].</w:t>
      </w:r>
      <w:r w:rsidRPr="002505AD">
        <w:rPr>
          <w:b/>
        </w:rPr>
        <w:t xml:space="preserve"> </w:t>
      </w:r>
    </w:p>
    <w:p w14:paraId="669E0F60" w14:textId="77777777" w:rsidR="00933BF4" w:rsidRPr="002505AD" w:rsidRDefault="00933BF4" w:rsidP="00933BF4">
      <w:proofErr w:type="spellStart"/>
      <w:r w:rsidRPr="002505AD">
        <w:rPr>
          <w:b/>
        </w:rPr>
        <w:t>sTTI</w:t>
      </w:r>
      <w:proofErr w:type="spellEnd"/>
      <w:r w:rsidRPr="002505AD">
        <w:t xml:space="preserve">: A transmission time interval (TTI) of either one slot or one </w:t>
      </w:r>
      <w:proofErr w:type="spellStart"/>
      <w:r w:rsidRPr="002505AD">
        <w:t>subslot</w:t>
      </w:r>
      <w:proofErr w:type="spellEnd"/>
      <w:r w:rsidRPr="002505AD">
        <w:t xml:space="preserve"> as defined in TS 36.211 [3] on either uplink or downlink.</w:t>
      </w:r>
    </w:p>
    <w:p w14:paraId="00087F64" w14:textId="77777777" w:rsidR="00933BF4" w:rsidRPr="0091194E" w:rsidRDefault="00933BF4" w:rsidP="00933BF4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43D8F581" w14:textId="77777777" w:rsidR="00933BF4" w:rsidRDefault="00933BF4" w:rsidP="008E11E5">
      <w:pPr>
        <w:pStyle w:val="Heading3"/>
        <w:rPr>
          <w:color w:val="FF0000"/>
        </w:rPr>
      </w:pPr>
    </w:p>
    <w:p w14:paraId="77591C40" w14:textId="0BEAA56D" w:rsidR="0070523C" w:rsidRPr="0070523C" w:rsidRDefault="0070523C" w:rsidP="008E11E5">
      <w:pPr>
        <w:pStyle w:val="Heading3"/>
        <w:rPr>
          <w:color w:val="FF0000"/>
        </w:rPr>
      </w:pPr>
      <w:r w:rsidRPr="0070523C">
        <w:rPr>
          <w:color w:val="FF0000"/>
        </w:rPr>
        <w:t>&lt;&lt; START OF CHANGE &gt;&gt;</w:t>
      </w:r>
    </w:p>
    <w:p w14:paraId="624CF9D2" w14:textId="77777777" w:rsidR="00D801A6" w:rsidRPr="002505AD" w:rsidRDefault="00D801A6" w:rsidP="00D801A6">
      <w:pPr>
        <w:pStyle w:val="Heading2"/>
      </w:pPr>
      <w:bookmarkStart w:id="40" w:name="_Toc120570017"/>
      <w:bookmarkStart w:id="41" w:name="_Toc121162809"/>
      <w:bookmarkStart w:id="42" w:name="_Toc121827690"/>
      <w:bookmarkStart w:id="43" w:name="_Toc124177518"/>
      <w:bookmarkStart w:id="44" w:name="_Toc124177945"/>
      <w:bookmarkStart w:id="45" w:name="_Toc130826072"/>
      <w:bookmarkStart w:id="46" w:name="_Toc137386349"/>
      <w:bookmarkStart w:id="47" w:name="_Toc137401229"/>
      <w:bookmarkStart w:id="48" w:name="_Toc138894753"/>
      <w:bookmarkStart w:id="49" w:name="_Toc145029464"/>
      <w:bookmarkStart w:id="50" w:name="_Toc153136011"/>
      <w:bookmarkStart w:id="51" w:name="_Toc15313820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2505AD">
        <w:t>5.4B</w:t>
      </w:r>
      <w:r w:rsidRPr="002505AD">
        <w:tab/>
        <w:t>Channel arrangement for category NB1 and NB2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E18CD0C" w14:textId="77777777" w:rsidR="00D801A6" w:rsidRPr="002505AD" w:rsidRDefault="00D801A6" w:rsidP="00D801A6">
      <w:pPr>
        <w:pStyle w:val="Heading3"/>
      </w:pPr>
      <w:bookmarkStart w:id="52" w:name="_Toc120570018"/>
      <w:bookmarkStart w:id="53" w:name="_Toc121162810"/>
      <w:bookmarkStart w:id="54" w:name="_Toc121827691"/>
      <w:bookmarkStart w:id="55" w:name="_Toc124177519"/>
      <w:bookmarkStart w:id="56" w:name="_Toc124177946"/>
      <w:bookmarkStart w:id="57" w:name="_Toc130826073"/>
      <w:bookmarkStart w:id="58" w:name="_Toc137386350"/>
      <w:bookmarkStart w:id="59" w:name="_Toc137401230"/>
      <w:bookmarkStart w:id="60" w:name="_Toc138894754"/>
      <w:bookmarkStart w:id="61" w:name="_Toc145029465"/>
      <w:bookmarkStart w:id="62" w:name="_Toc153136012"/>
      <w:bookmarkStart w:id="63" w:name="_Toc153138206"/>
      <w:r w:rsidRPr="002505AD">
        <w:t>5.4B.1</w:t>
      </w:r>
      <w:r w:rsidRPr="002505AD">
        <w:tab/>
        <w:t>Channel spacing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7F2471" w14:textId="0C18DE3D" w:rsidR="00D801A6" w:rsidRPr="002505AD" w:rsidRDefault="00D801A6" w:rsidP="00D801A6">
      <w:r w:rsidRPr="002505AD">
        <w:t xml:space="preserve">Nominal channel spacing for UE category NB1 and NB2 in stand-alone mode is 200 kHz. </w:t>
      </w:r>
      <w:ins w:id="64" w:author="Luca Lodigiani" w:date="2024-02-09T12:31:00Z">
        <w:r w:rsidR="003B1924" w:rsidRPr="001D386E">
          <w:t>For in-band case</w:t>
        </w:r>
      </w:ins>
      <w:r w:rsidR="00416378">
        <w:t>,</w:t>
      </w:r>
      <w:ins w:id="65" w:author="Luca Lodigiani" w:date="2024-02-09T12:31:00Z">
        <w:r w:rsidR="003B1924" w:rsidRPr="001D386E">
          <w:t xml:space="preserve"> the nominal channel spacing between two adjacent category NB1 </w:t>
        </w:r>
        <w:r w:rsidR="003B1924" w:rsidRPr="001D386E">
          <w:rPr>
            <w:rFonts w:hint="eastAsia"/>
            <w:lang w:eastAsia="zh-CN"/>
          </w:rPr>
          <w:t>or</w:t>
        </w:r>
        <w:r w:rsidR="003B1924" w:rsidRPr="001D386E">
          <w:t xml:space="preserve"> NB2 carriers is 180 kHz.</w:t>
        </w:r>
      </w:ins>
    </w:p>
    <w:p w14:paraId="20A5F026" w14:textId="77777777" w:rsidR="00D801A6" w:rsidRPr="00CD1DA5" w:rsidRDefault="00D801A6" w:rsidP="00D801A6">
      <w:pPr>
        <w:pStyle w:val="Heading3"/>
      </w:pPr>
      <w:bookmarkStart w:id="66" w:name="_Toc120570019"/>
      <w:bookmarkStart w:id="67" w:name="_Toc121162811"/>
      <w:bookmarkStart w:id="68" w:name="_Toc121827692"/>
      <w:bookmarkStart w:id="69" w:name="_Toc124177520"/>
      <w:bookmarkStart w:id="70" w:name="_Toc124177947"/>
      <w:bookmarkStart w:id="71" w:name="_Toc130826074"/>
      <w:bookmarkStart w:id="72" w:name="_Toc137386351"/>
      <w:bookmarkStart w:id="73" w:name="_Toc137401231"/>
      <w:bookmarkStart w:id="74" w:name="_Toc138894755"/>
      <w:bookmarkStart w:id="75" w:name="_Toc145029466"/>
      <w:bookmarkStart w:id="76" w:name="_Toc153136013"/>
      <w:bookmarkStart w:id="77" w:name="_Toc153138207"/>
      <w:r w:rsidRPr="00CD1DA5">
        <w:t>5.4B.2</w:t>
      </w:r>
      <w:r w:rsidRPr="00CD1DA5">
        <w:tab/>
        <w:t>Channel raster, carrier frequency and EARFCN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8FAA744" w14:textId="77777777" w:rsidR="00D801A6" w:rsidRPr="002505AD" w:rsidRDefault="00D801A6" w:rsidP="00D801A6">
      <w:pPr>
        <w:rPr>
          <w:rFonts w:eastAsia="SimSun"/>
        </w:rPr>
      </w:pPr>
      <w:r w:rsidRPr="002505AD">
        <w:rPr>
          <w:rFonts w:eastAsia="SimSun"/>
        </w:rPr>
        <w:t xml:space="preserve">The channel raster of UE category </w:t>
      </w:r>
      <w:r w:rsidRPr="002505AD">
        <w:t xml:space="preserve">NB1/NB2 </w:t>
      </w:r>
      <w:r w:rsidRPr="002505AD"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62EF9DCA" w14:textId="77777777" w:rsidR="00D801A6" w:rsidRPr="002505AD" w:rsidRDefault="00D801A6" w:rsidP="00D801A6">
      <w:pPr>
        <w:rPr>
          <w:rFonts w:eastAsia="SimSun"/>
          <w:lang w:val="en-US"/>
        </w:rPr>
      </w:pPr>
      <w:r w:rsidRPr="002505AD">
        <w:rPr>
          <w:rFonts w:eastAsia="SimSun"/>
        </w:rPr>
        <w:t>T</w:t>
      </w:r>
      <w:r w:rsidRPr="002505AD">
        <w:t>he carrier frequency</w:t>
      </w:r>
      <w:r w:rsidRPr="002505AD">
        <w:rPr>
          <w:rFonts w:eastAsia="SimSun"/>
        </w:rPr>
        <w:t xml:space="preserve"> 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 xml:space="preserve">the </w:t>
      </w:r>
      <w:r w:rsidRPr="002505AD">
        <w:t>downlink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>.2-1, and the Offset of category NB1/NB2 Channel Number to EARFCN in the range of {-10, -9, -8, -7, -6, -5, -4, -3, -2, -1, -0.5, 0, 1, 2, 3, 4, 5, 6, 7, 8, 9} for FDD. The relation between EARFCN</w:t>
      </w:r>
      <w:r w:rsidRPr="002505AD">
        <w:rPr>
          <w:rFonts w:eastAsia="SimSun"/>
        </w:rPr>
        <w:t xml:space="preserve">, Offset of category </w:t>
      </w:r>
      <w:r w:rsidRPr="002505AD">
        <w:t>NB1/NB2</w:t>
      </w:r>
      <w:r w:rsidRPr="002505AD">
        <w:rPr>
          <w:rFonts w:eastAsia="SimSun"/>
        </w:rPr>
        <w:t xml:space="preserve"> Channel Number to EARFCN</w:t>
      </w:r>
      <w:r w:rsidRPr="002505AD">
        <w:t xml:space="preserve"> and the carrier frequency in MHz for the downlink is given by the following equation, where F</w:t>
      </w:r>
      <w:r w:rsidRPr="002505AD">
        <w:rPr>
          <w:vertAlign w:val="subscript"/>
        </w:rPr>
        <w:t>DL</w:t>
      </w:r>
      <w:r w:rsidRPr="002505AD">
        <w:t xml:space="preserve"> </w:t>
      </w:r>
      <w:r w:rsidRPr="002505AD">
        <w:rPr>
          <w:rFonts w:eastAsia="SimSun"/>
        </w:rPr>
        <w:t xml:space="preserve">is the downlink carrier frequency of </w:t>
      </w:r>
      <w:r w:rsidRPr="002505AD">
        <w:t>category NB1/NB2</w:t>
      </w:r>
      <w:r w:rsidRPr="002505AD">
        <w:rPr>
          <w:rFonts w:eastAsia="SimSun"/>
        </w:rPr>
        <w:t xml:space="preserve">, </w:t>
      </w:r>
      <w:proofErr w:type="spellStart"/>
      <w:r w:rsidRPr="002505AD">
        <w:t>F</w:t>
      </w:r>
      <w:r w:rsidRPr="002505AD">
        <w:rPr>
          <w:vertAlign w:val="subscript"/>
        </w:rPr>
        <w:t>DL_low</w:t>
      </w:r>
      <w:proofErr w:type="spellEnd"/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-DL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vertAlign w:val="subscript"/>
        </w:rPr>
        <w:t>DL</w:t>
      </w:r>
      <w:r w:rsidRPr="002505AD">
        <w:t xml:space="preserve"> is the downlink EARFCN</w:t>
      </w:r>
      <w:r w:rsidRPr="002505AD">
        <w:rPr>
          <w:rFonts w:eastAsia="SimSun"/>
        </w:rPr>
        <w:t>, M</w:t>
      </w:r>
      <w:r w:rsidRPr="002505AD">
        <w:rPr>
          <w:vertAlign w:val="subscript"/>
        </w:rPr>
        <w:t>DL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category </w:t>
      </w:r>
      <w:r w:rsidRPr="002505AD">
        <w:t>NB1/NB2</w:t>
      </w:r>
      <w:r w:rsidRPr="002505AD">
        <w:rPr>
          <w:rFonts w:eastAsia="SimSun"/>
        </w:rPr>
        <w:t xml:space="preserve"> Channel Number to downlink EARFCN.</w:t>
      </w:r>
    </w:p>
    <w:p w14:paraId="1D85302B" w14:textId="5F83BE54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DL</w:t>
      </w:r>
      <w:r w:rsidRPr="002505AD">
        <w:t xml:space="preserve"> = F</w:t>
      </w:r>
      <w:r w:rsidRPr="002505AD">
        <w:rPr>
          <w:vertAlign w:val="subscript"/>
        </w:rPr>
        <w:t>DL_low</w:t>
      </w:r>
      <w:r w:rsidRPr="002505AD">
        <w:t xml:space="preserve"> + 0.1(N</w:t>
      </w:r>
      <w:r w:rsidRPr="002505AD">
        <w:rPr>
          <w:vertAlign w:val="subscript"/>
        </w:rPr>
        <w:t>DL</w:t>
      </w:r>
      <w:r w:rsidRPr="002505AD">
        <w:t xml:space="preserve"> – N</w:t>
      </w:r>
      <w:r w:rsidRPr="002505AD">
        <w:rPr>
          <w:vertAlign w:val="subscript"/>
        </w:rPr>
        <w:t>Offs-DL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DL</w:t>
      </w:r>
      <w:ins w:id="78" w:author="Luca Lodigiani" w:date="2024-08-09T17:22:00Z" w16du:dateUtc="2024-08-09T16:22:00Z">
        <w:r w:rsidR="00A65DC6" w:rsidRPr="001D386E">
          <w:rPr>
            <w:rFonts w:eastAsia="SimSun"/>
            <w:lang w:eastAsia="zh-CN"/>
          </w:rPr>
          <w:t>+1</w:t>
        </w:r>
      </w:ins>
      <w:r w:rsidR="00A65DC6">
        <w:rPr>
          <w:rFonts w:eastAsia="SimSun"/>
          <w:lang w:eastAsia="zh-CN"/>
        </w:rPr>
        <w:t>)</w:t>
      </w:r>
    </w:p>
    <w:p w14:paraId="199596AC" w14:textId="77777777" w:rsidR="00D801A6" w:rsidRPr="002505AD" w:rsidRDefault="00D801A6" w:rsidP="00D801A6">
      <w:pPr>
        <w:rPr>
          <w:rFonts w:eastAsia="SimSun"/>
        </w:rPr>
      </w:pPr>
      <w:r w:rsidRPr="002505AD">
        <w:t xml:space="preserve">The carrier frequency </w:t>
      </w:r>
      <w:r w:rsidRPr="002505AD">
        <w:rPr>
          <w:rFonts w:eastAsia="SimSun"/>
        </w:rPr>
        <w:t xml:space="preserve">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>the uplink</w:t>
      </w:r>
      <w:r w:rsidRPr="002505AD">
        <w:t xml:space="preserve">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 xml:space="preserve">.2-1, and the Offset of category NB1/NB2 Channel Number to </w:t>
      </w:r>
      <w:r w:rsidRPr="002505AD">
        <w:lastRenderedPageBreak/>
        <w:t>EARFCN in the range of {-10, -9, -8, -7, -6, -5, -4, -3, -2, -1, 0, 1, 2, 3, 4, 5, 6, 7, 8, 9} for FDD. The relation between EARFCN</w:t>
      </w:r>
      <w:r w:rsidRPr="002505AD">
        <w:rPr>
          <w:rFonts w:eastAsia="SimSun"/>
        </w:rPr>
        <w:t xml:space="preserve">, Offset of </w:t>
      </w:r>
      <w:r w:rsidRPr="002505AD">
        <w:t>category NB1/NB2</w:t>
      </w:r>
      <w:r w:rsidRPr="002505AD">
        <w:rPr>
          <w:rFonts w:eastAsia="SimSun"/>
        </w:rPr>
        <w:t xml:space="preserve"> Channel Number</w:t>
      </w:r>
      <w:r w:rsidRPr="002505AD">
        <w:t xml:space="preserve"> </w:t>
      </w:r>
      <w:r w:rsidRPr="002505AD">
        <w:rPr>
          <w:rFonts w:eastAsia="SimSun"/>
        </w:rPr>
        <w:t xml:space="preserve">to EARFCN </w:t>
      </w:r>
      <w:r w:rsidRPr="002505AD">
        <w:t xml:space="preserve">and the carrier frequency in MHz for the </w:t>
      </w:r>
      <w:r w:rsidRPr="002505AD">
        <w:rPr>
          <w:rFonts w:eastAsia="SimSun"/>
        </w:rPr>
        <w:t>uplink</w:t>
      </w:r>
      <w:r w:rsidRPr="002505AD">
        <w:t xml:space="preserve"> is given by the following equation, where 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</w:t>
      </w:r>
      <w:r w:rsidRPr="002505AD">
        <w:rPr>
          <w:rFonts w:eastAsia="SimSun"/>
        </w:rPr>
        <w:t xml:space="preserve">is the uplink carrier frequency of category </w:t>
      </w:r>
      <w:r w:rsidRPr="002505AD">
        <w:t>NB1/NB2</w:t>
      </w:r>
      <w:r w:rsidRPr="002505AD">
        <w:rPr>
          <w:rFonts w:eastAsia="SimSun"/>
        </w:rPr>
        <w:t xml:space="preserve">, </w:t>
      </w:r>
      <w:proofErr w:type="spellStart"/>
      <w:r w:rsidRPr="002505AD">
        <w:t>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L_low</w:t>
      </w:r>
      <w:proofErr w:type="spellEnd"/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is the </w:t>
      </w:r>
      <w:r w:rsidRPr="002505AD">
        <w:rPr>
          <w:rFonts w:eastAsia="SimSun"/>
        </w:rPr>
        <w:t>uplink</w:t>
      </w:r>
      <w:r w:rsidRPr="002505AD">
        <w:t xml:space="preserve"> EARFCN</w:t>
      </w:r>
      <w:r w:rsidRPr="002505AD">
        <w:rPr>
          <w:rFonts w:eastAsia="SimSun"/>
        </w:rPr>
        <w:t>, M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</w:t>
      </w:r>
      <w:r w:rsidRPr="002505AD">
        <w:t>category NB1/NB2</w:t>
      </w:r>
      <w:r w:rsidRPr="002505AD">
        <w:rPr>
          <w:rFonts w:eastAsia="SimSun"/>
        </w:rPr>
        <w:t xml:space="preserve"> Channel Number to uplink EARFCN.</w:t>
      </w:r>
    </w:p>
    <w:p w14:paraId="1AC20F0A" w14:textId="77777777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UL</w:t>
      </w:r>
      <w:r w:rsidRPr="002505AD">
        <w:t xml:space="preserve"> = F</w:t>
      </w:r>
      <w:r w:rsidRPr="002505AD">
        <w:rPr>
          <w:vertAlign w:val="subscript"/>
        </w:rPr>
        <w:t>UL_low</w:t>
      </w:r>
      <w:r w:rsidRPr="002505AD">
        <w:t xml:space="preserve"> + 0.1(N</w:t>
      </w:r>
      <w:r w:rsidRPr="002505AD">
        <w:rPr>
          <w:vertAlign w:val="subscript"/>
        </w:rPr>
        <w:t>UL</w:t>
      </w:r>
      <w:r w:rsidRPr="002505AD">
        <w:t xml:space="preserve"> – N</w:t>
      </w:r>
      <w:r w:rsidRPr="002505AD">
        <w:rPr>
          <w:vertAlign w:val="subscript"/>
        </w:rPr>
        <w:t>Offs-UL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UL</w:t>
      </w:r>
      <w:r w:rsidRPr="002505AD">
        <w:rPr>
          <w:rFonts w:eastAsia="SimSun"/>
        </w:rPr>
        <w:t>)</w:t>
      </w:r>
    </w:p>
    <w:p w14:paraId="21C7C235" w14:textId="46F7FF47" w:rsidR="00D801A6" w:rsidRDefault="00D801A6" w:rsidP="00D801A6">
      <w:pPr>
        <w:pStyle w:val="NO"/>
        <w:rPr>
          <w:ins w:id="79" w:author="Luca Lodigiani" w:date="2024-08-09T17:24:00Z" w16du:dateUtc="2024-08-09T16:24:00Z"/>
        </w:rPr>
      </w:pPr>
      <w:r w:rsidRPr="002505AD">
        <w:t>NOTE 1:</w:t>
      </w:r>
      <w:r>
        <w:tab/>
      </w:r>
      <w:del w:id="80" w:author="Luca Lodigiani" w:date="2024-02-09T12:36:00Z">
        <w:r w:rsidRPr="002505AD" w:rsidDel="00933BF4">
          <w:delText>Guard-band operation and in-band operation for NB-IoT are not supported in this version of the specification.</w:delText>
        </w:r>
      </w:del>
    </w:p>
    <w:p w14:paraId="328C834E" w14:textId="20BC2A59" w:rsidR="001B51A3" w:rsidRDefault="001B51A3" w:rsidP="00D801A6">
      <w:pPr>
        <w:pStyle w:val="NO"/>
        <w:rPr>
          <w:ins w:id="81" w:author="Luca Lodigiani" w:date="2024-08-09T17:24:00Z" w16du:dateUtc="2024-08-09T16:24:00Z"/>
          <w:rFonts w:eastAsia="SimSun"/>
          <w:lang w:eastAsia="zh-CN"/>
        </w:rPr>
      </w:pPr>
      <w:ins w:id="82" w:author="Luca Lodigiani" w:date="2024-08-09T17:24:00Z" w16du:dateUtc="2024-08-09T16:24:00Z">
        <w:r w:rsidRPr="001D386E">
          <w:rPr>
            <w:rFonts w:eastAsia="SimSun"/>
            <w:lang w:eastAsia="zh-CN"/>
          </w:rPr>
          <w:t>NOTE 2:</w:t>
        </w:r>
        <w:r w:rsidRPr="001D386E">
          <w:rPr>
            <w:rFonts w:eastAsia="SimSun"/>
            <w:lang w:eastAsia="zh-CN"/>
          </w:rPr>
          <w:tab/>
        </w:r>
        <w:r w:rsidRPr="001D386E">
          <w:rPr>
            <w:rFonts w:eastAsia="SimSun" w:hint="eastAsia"/>
            <w:lang w:eastAsia="zh-CN"/>
          </w:rPr>
          <w:t xml:space="preserve">For FDD </w:t>
        </w:r>
        <w:r w:rsidRPr="001D386E">
          <w:rPr>
            <w:rFonts w:eastAsia="SimSun"/>
            <w:lang w:eastAsia="zh-CN"/>
          </w:rPr>
          <w:t>M</w:t>
        </w:r>
        <w:r w:rsidRPr="001D386E">
          <w:rPr>
            <w:vertAlign w:val="subscript"/>
          </w:rPr>
          <w:t>DL</w:t>
        </w:r>
        <w:r w:rsidRPr="001D386E">
          <w:rPr>
            <w:rFonts w:eastAsia="SimSun"/>
            <w:vertAlign w:val="subscript"/>
            <w:lang w:eastAsia="zh-CN"/>
          </w:rPr>
          <w:t xml:space="preserve"> </w:t>
        </w:r>
        <w:r w:rsidRPr="001D386E">
          <w:rPr>
            <w:rFonts w:eastAsia="SimSun"/>
            <w:lang w:eastAsia="zh-CN"/>
          </w:rPr>
          <w:t>= -0.5 is not applicable for in-band and guard band operation.</w:t>
        </w:r>
      </w:ins>
    </w:p>
    <w:p w14:paraId="1D0510FB" w14:textId="0FD0409E" w:rsidR="00AE08F2" w:rsidRPr="002505AD" w:rsidRDefault="00F93B71" w:rsidP="00D801A6">
      <w:pPr>
        <w:pStyle w:val="NO"/>
      </w:pPr>
      <w:ins w:id="83" w:author="Luca Lodigiani" w:date="2024-08-09T17:25:00Z" w16du:dateUtc="2024-08-09T16:25:00Z">
        <w:r w:rsidRPr="001D386E">
          <w:rPr>
            <w:rFonts w:cs="v5.0.0"/>
            <w:lang w:eastAsia="zh-CN"/>
          </w:rPr>
          <w:t xml:space="preserve">NOTE </w:t>
        </w:r>
        <w:r w:rsidRPr="001D386E">
          <w:rPr>
            <w:rFonts w:cs="v5.0.0" w:hint="eastAsia"/>
            <w:lang w:eastAsia="zh-CN"/>
          </w:rPr>
          <w:t>3</w:t>
        </w:r>
        <w:r w:rsidRPr="001D386E">
          <w:rPr>
            <w:rFonts w:cs="v5.0.0"/>
            <w:lang w:eastAsia="zh-CN"/>
          </w:rPr>
          <w:t>:</w:t>
        </w:r>
        <w:r w:rsidRPr="001D386E">
          <w:rPr>
            <w:rFonts w:cs="v5.0.0"/>
            <w:lang w:eastAsia="zh-CN"/>
          </w:rPr>
          <w:tab/>
        </w:r>
        <w:r w:rsidRPr="001D386E">
          <w:rPr>
            <w:rFonts w:cs="v5.0.0" w:hint="eastAsia"/>
            <w:lang w:eastAsia="zh-CN"/>
          </w:rPr>
          <w:t>F</w:t>
        </w:r>
        <w:r w:rsidRPr="001D386E">
          <w:t>or the carrier including NPSS/NSSS for in-band and guard band operation, M</w:t>
        </w:r>
        <w:r w:rsidRPr="001D386E">
          <w:rPr>
            <w:sz w:val="15"/>
            <w:szCs w:val="15"/>
          </w:rPr>
          <w:t>DL</w:t>
        </w:r>
        <w:r w:rsidRPr="001D386E">
          <w:t xml:space="preserve"> is selected from {-</w:t>
        </w:r>
        <w:proofErr w:type="gramStart"/>
        <w:r w:rsidRPr="001D386E">
          <w:t>2,-</w:t>
        </w:r>
        <w:proofErr w:type="gramEnd"/>
        <w:r w:rsidRPr="001D386E">
          <w:t>1,0,1}.</w:t>
        </w:r>
      </w:ins>
    </w:p>
    <w:p w14:paraId="2DD2E53F" w14:textId="77777777" w:rsidR="00625485" w:rsidRDefault="00D801A6" w:rsidP="00625485">
      <w:pPr>
        <w:pStyle w:val="NO"/>
        <w:rPr>
          <w:lang w:eastAsia="zh-CN"/>
        </w:rPr>
      </w:pPr>
      <w:r w:rsidRPr="002505AD">
        <w:rPr>
          <w:rFonts w:cs="v5.0.0"/>
        </w:rPr>
        <w:t xml:space="preserve">NOTE </w:t>
      </w:r>
      <w:del w:id="84" w:author="Luca Lodigiani" w:date="2024-08-09T17:24:00Z" w16du:dateUtc="2024-08-09T16:24:00Z">
        <w:r w:rsidRPr="002505AD" w:rsidDel="00AE08F2">
          <w:rPr>
            <w:rFonts w:cs="v5.0.0"/>
          </w:rPr>
          <w:delText>2</w:delText>
        </w:r>
      </w:del>
      <w:ins w:id="85" w:author="Luca Lodigiani" w:date="2024-08-09T17:24:00Z" w16du:dateUtc="2024-08-09T16:24:00Z">
        <w:r w:rsidR="00AE08F2">
          <w:rPr>
            <w:rFonts w:cs="v5.0.0"/>
          </w:rPr>
          <w:t>4</w:t>
        </w:r>
      </w:ins>
      <w:r w:rsidRPr="002505AD">
        <w:rPr>
          <w:rFonts w:cs="v5.0.0"/>
        </w:rPr>
        <w:t>:</w:t>
      </w:r>
      <w:r w:rsidRPr="002505AD">
        <w:rPr>
          <w:rFonts w:cs="v5.0.0"/>
        </w:rPr>
        <w:tab/>
        <w:t>F</w:t>
      </w:r>
      <w:r w:rsidRPr="002505AD">
        <w:rPr>
          <w:lang w:eastAsia="zh-CN"/>
        </w:rPr>
        <w:t>or the carrier including NPSS/NSSS for stand-alone operation, M</w:t>
      </w:r>
      <w:r w:rsidRPr="002505AD">
        <w:rPr>
          <w:sz w:val="15"/>
          <w:szCs w:val="15"/>
          <w:lang w:eastAsia="zh-CN"/>
        </w:rPr>
        <w:t>DL</w:t>
      </w:r>
      <w:r w:rsidRPr="002505AD">
        <w:rPr>
          <w:lang w:eastAsia="zh-CN"/>
        </w:rPr>
        <w:t xml:space="preserve"> = </w:t>
      </w:r>
      <w:ins w:id="86" w:author="Luca Lodigiani" w:date="2024-08-09T17:22:00Z" w16du:dateUtc="2024-08-09T16:22:00Z">
        <w:r w:rsidR="00522B04" w:rsidRPr="001D386E">
          <w:rPr>
            <w:lang w:eastAsia="x-none"/>
          </w:rPr>
          <w:t>-0.5</w:t>
        </w:r>
      </w:ins>
      <w:del w:id="87" w:author="Luca Lodigiani" w:date="2024-08-09T17:22:00Z" w16du:dateUtc="2024-08-09T16:22:00Z">
        <w:r w:rsidRPr="002505AD" w:rsidDel="00522B04">
          <w:rPr>
            <w:lang w:val="en-US" w:eastAsia="zh-CN"/>
          </w:rPr>
          <w:delText>0</w:delText>
        </w:r>
      </w:del>
      <w:r w:rsidRPr="002505AD">
        <w:rPr>
          <w:lang w:eastAsia="zh-CN"/>
        </w:rPr>
        <w:t>.</w:t>
      </w:r>
    </w:p>
    <w:p w14:paraId="207D1B85" w14:textId="0E19C5D7" w:rsidR="00F93B71" w:rsidRPr="00625485" w:rsidRDefault="007E0F04" w:rsidP="00625485">
      <w:pPr>
        <w:pStyle w:val="NO"/>
        <w:rPr>
          <w:lang w:eastAsia="zh-CN"/>
        </w:rPr>
      </w:pPr>
      <w:ins w:id="88" w:author="Luca Lodigiani" w:date="2024-08-09T17:26:00Z" w16du:dateUtc="2024-08-09T16:26:00Z">
        <w:r w:rsidRPr="00625485">
          <w:rPr>
            <w:lang w:eastAsia="zh-CN"/>
          </w:rPr>
          <w:t xml:space="preserve">NOTE 5: For the carrier not including NPSS/NSSS for stand-alone operation, </w:t>
        </w:r>
      </w:ins>
      <w:ins w:id="89" w:author="Luca Lodigiani" w:date="2024-08-09T17:24:00Z" w16du:dateUtc="2024-08-09T16:24:00Z">
        <w:r w:rsidR="00625485" w:rsidRPr="001D386E">
          <w:rPr>
            <w:rFonts w:eastAsia="SimSun"/>
            <w:lang w:eastAsia="zh-CN"/>
          </w:rPr>
          <w:t>M</w:t>
        </w:r>
        <w:r w:rsidR="00625485" w:rsidRPr="001D386E">
          <w:rPr>
            <w:vertAlign w:val="subscript"/>
          </w:rPr>
          <w:t>DL</w:t>
        </w:r>
      </w:ins>
      <w:ins w:id="90" w:author="Luca Lodigiani" w:date="2024-08-09T17:26:00Z" w16du:dateUtc="2024-08-09T16:26:00Z">
        <w:r w:rsidRPr="00625485">
          <w:rPr>
            <w:lang w:eastAsia="zh-CN"/>
          </w:rPr>
          <w:t xml:space="preserve"> = </w:t>
        </w:r>
      </w:ins>
      <w:ins w:id="91" w:author="Luca Lodigiani" w:date="2024-08-09T17:24:00Z" w16du:dateUtc="2024-08-09T16:24:00Z">
        <w:r w:rsidR="00625485" w:rsidRPr="001D386E">
          <w:rPr>
            <w:rFonts w:eastAsia="SimSun"/>
            <w:lang w:eastAsia="zh-CN"/>
          </w:rPr>
          <w:t>M</w:t>
        </w:r>
        <w:r w:rsidR="00625485" w:rsidRPr="001D386E">
          <w:rPr>
            <w:vertAlign w:val="subscript"/>
          </w:rPr>
          <w:t>DL</w:t>
        </w:r>
      </w:ins>
      <w:ins w:id="92" w:author="Luca Lodigiani" w:date="2024-08-09T17:26:00Z" w16du:dateUtc="2024-08-09T16:26:00Z">
        <w:r w:rsidRPr="00625485">
          <w:rPr>
            <w:lang w:eastAsia="zh-CN"/>
          </w:rPr>
          <w:t xml:space="preserve"> + 0.5</w:t>
        </w:r>
      </w:ins>
    </w:p>
    <w:p w14:paraId="346F26D2" w14:textId="77777777" w:rsidR="00625485" w:rsidRPr="00625485" w:rsidDel="007E0F04" w:rsidRDefault="00625485" w:rsidP="00625485">
      <w:pPr>
        <w:rPr>
          <w:del w:id="93" w:author="Luca Lodigiani" w:date="2024-08-09T17:26:00Z" w16du:dateUtc="2024-08-09T16:26:00Z"/>
        </w:rPr>
      </w:pPr>
    </w:p>
    <w:p w14:paraId="4541C1DB" w14:textId="77777777" w:rsidR="00D801A6" w:rsidRPr="002505AD" w:rsidRDefault="00D801A6" w:rsidP="00D801A6">
      <w:pPr>
        <w:pStyle w:val="Heading3"/>
      </w:pPr>
      <w:bookmarkStart w:id="94" w:name="_Toc120570020"/>
      <w:bookmarkStart w:id="95" w:name="_Toc121162812"/>
      <w:bookmarkStart w:id="96" w:name="_Toc121827693"/>
      <w:bookmarkStart w:id="97" w:name="_Toc124177521"/>
      <w:bookmarkStart w:id="98" w:name="_Toc124177948"/>
      <w:bookmarkStart w:id="99" w:name="_Toc130826075"/>
      <w:bookmarkStart w:id="100" w:name="_Toc137386352"/>
      <w:bookmarkStart w:id="101" w:name="_Toc137401232"/>
      <w:bookmarkStart w:id="102" w:name="_Toc138894756"/>
      <w:bookmarkStart w:id="103" w:name="_Toc145029467"/>
      <w:bookmarkStart w:id="104" w:name="_Toc153136014"/>
      <w:bookmarkStart w:id="105" w:name="_Toc153138208"/>
      <w:r w:rsidRPr="002505AD">
        <w:t>5.4B.3</w:t>
      </w:r>
      <w:r w:rsidRPr="002505AD">
        <w:tab/>
        <w:t>TX–RX frequency separation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32AE076" w14:textId="303F5F55" w:rsidR="00F058CD" w:rsidRDefault="00D801A6" w:rsidP="00D801A6"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09BD8BE9" w14:textId="2AB6E87E" w:rsidR="002A6188" w:rsidRPr="00CD1DA5" w:rsidRDefault="00127828" w:rsidP="00D801A6">
      <w:pPr>
        <w:rPr>
          <w:color w:val="365F91" w:themeColor="accent1" w:themeShade="BF"/>
          <w:lang w:eastAsia="zh-TW"/>
        </w:rPr>
      </w:pPr>
      <w:ins w:id="106" w:author="Luca Lodigiani" w:date="2024-08-09T17:34:00Z" w16du:dateUtc="2024-08-09T16:34:00Z">
        <w:r w:rsidRPr="001D386E">
          <w:t xml:space="preserve">For in-band </w:t>
        </w:r>
        <w:r>
          <w:t xml:space="preserve">operation with NR NTN, </w:t>
        </w:r>
      </w:ins>
      <w:ins w:id="107" w:author="Luca Lodigiani" w:date="2024-08-09T17:33:00Z" w16du:dateUtc="2024-08-09T16:33:00Z">
        <w:r w:rsidR="002A6188" w:rsidRPr="001D386E">
          <w:t>the</w:t>
        </w:r>
        <w:r w:rsidR="002A6188" w:rsidRPr="001D386E">
          <w:rPr>
            <w:rFonts w:hint="eastAsia"/>
          </w:rPr>
          <w:t xml:space="preserve"> category NB1 and NB2</w:t>
        </w:r>
        <w:r w:rsidR="002A6188" w:rsidRPr="001D386E">
          <w:t xml:space="preserve"> TX-RX frequency separation is flexible within the </w:t>
        </w:r>
        <w:r w:rsidR="002A6188" w:rsidRPr="001D386E">
          <w:rPr>
            <w:rFonts w:hint="eastAsia"/>
          </w:rPr>
          <w:t xml:space="preserve">assigned channel bandwidth of </w:t>
        </w:r>
      </w:ins>
      <w:ins w:id="108" w:author="Luca Lodigiani" w:date="2024-08-09T17:34:00Z" w16du:dateUtc="2024-08-09T16:34:00Z">
        <w:r>
          <w:t xml:space="preserve">NR NTN </w:t>
        </w:r>
      </w:ins>
      <w:ins w:id="109" w:author="Luca Lodigiani" w:date="2024-08-09T17:33:00Z" w16du:dateUtc="2024-08-09T16:33:00Z">
        <w:r w:rsidR="002A6188" w:rsidRPr="001D386E">
          <w:rPr>
            <w:rFonts w:hint="eastAsia"/>
          </w:rPr>
          <w:t>carrier with</w:t>
        </w:r>
        <w:r w:rsidR="002A6188" w:rsidRPr="001D386E">
          <w:t xml:space="preserve"> the TX-RX frequency separation of the </w:t>
        </w:r>
      </w:ins>
      <w:ins w:id="110" w:author="Luca Lodigiani" w:date="2024-08-09T17:34:00Z" w16du:dateUtc="2024-08-09T16:34:00Z">
        <w:r>
          <w:t>NR NTN</w:t>
        </w:r>
      </w:ins>
      <w:ins w:id="111" w:author="Luca Lodigiani" w:date="2024-08-09T17:33:00Z" w16du:dateUtc="2024-08-09T16:33:00Z">
        <w:r w:rsidR="002A6188" w:rsidRPr="001D386E">
          <w:t xml:space="preserve"> carriers as specified in</w:t>
        </w:r>
      </w:ins>
      <w:ins w:id="112" w:author="Luca Lodigiani" w:date="2024-08-09T17:34:00Z" w16du:dateUtc="2024-08-09T16:34:00Z">
        <w:r>
          <w:t xml:space="preserve"> TS 38.101-5.</w:t>
        </w:r>
      </w:ins>
    </w:p>
    <w:p w14:paraId="69298352" w14:textId="50CFD8F9" w:rsidR="0070523C" w:rsidRPr="0091194E" w:rsidRDefault="0070523C" w:rsidP="0091194E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sectPr w:rsidR="0070523C" w:rsidRPr="0091194E" w:rsidSect="0024446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9CB9B" w14:textId="77777777" w:rsidR="00244468" w:rsidRDefault="00244468">
      <w:r>
        <w:separator/>
      </w:r>
    </w:p>
  </w:endnote>
  <w:endnote w:type="continuationSeparator" w:id="0">
    <w:p w14:paraId="2E09075C" w14:textId="77777777" w:rsidR="00244468" w:rsidRDefault="00244468">
      <w:r>
        <w:continuationSeparator/>
      </w:r>
    </w:p>
  </w:endnote>
  <w:endnote w:type="continuationNotice" w:id="1">
    <w:p w14:paraId="6BD3A493" w14:textId="77777777" w:rsidR="00244468" w:rsidRDefault="00244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8773F" w14:textId="77777777" w:rsidR="00244468" w:rsidRDefault="00244468">
      <w:r>
        <w:separator/>
      </w:r>
    </w:p>
  </w:footnote>
  <w:footnote w:type="continuationSeparator" w:id="0">
    <w:p w14:paraId="60DEE00B" w14:textId="77777777" w:rsidR="00244468" w:rsidRDefault="00244468">
      <w:r>
        <w:continuationSeparator/>
      </w:r>
    </w:p>
  </w:footnote>
  <w:footnote w:type="continuationNotice" w:id="1">
    <w:p w14:paraId="51977BAE" w14:textId="77777777" w:rsidR="00244468" w:rsidRDefault="002444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086085"/>
    <w:multiLevelType w:val="hybridMultilevel"/>
    <w:tmpl w:val="1874A192"/>
    <w:lvl w:ilvl="0" w:tplc="6F5A4172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35958002">
    <w:abstractNumId w:val="0"/>
  </w:num>
  <w:num w:numId="2" w16cid:durableId="690374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359"/>
    <w:rsid w:val="00017A4D"/>
    <w:rsid w:val="00022E4A"/>
    <w:rsid w:val="000455AB"/>
    <w:rsid w:val="00055BF4"/>
    <w:rsid w:val="00095968"/>
    <w:rsid w:val="000A6394"/>
    <w:rsid w:val="000B1A85"/>
    <w:rsid w:val="000B7FED"/>
    <w:rsid w:val="000C038A"/>
    <w:rsid w:val="000C6598"/>
    <w:rsid w:val="000D44B3"/>
    <w:rsid w:val="0010121B"/>
    <w:rsid w:val="00113DEC"/>
    <w:rsid w:val="00127828"/>
    <w:rsid w:val="00130617"/>
    <w:rsid w:val="00133CC7"/>
    <w:rsid w:val="0013587C"/>
    <w:rsid w:val="00141DCB"/>
    <w:rsid w:val="00142AC1"/>
    <w:rsid w:val="00145D43"/>
    <w:rsid w:val="00175683"/>
    <w:rsid w:val="00192C46"/>
    <w:rsid w:val="001A08B3"/>
    <w:rsid w:val="001A7B60"/>
    <w:rsid w:val="001B51A3"/>
    <w:rsid w:val="001B52F0"/>
    <w:rsid w:val="001B7A65"/>
    <w:rsid w:val="001C581D"/>
    <w:rsid w:val="001E41F3"/>
    <w:rsid w:val="0022747B"/>
    <w:rsid w:val="00232117"/>
    <w:rsid w:val="00244468"/>
    <w:rsid w:val="00253A77"/>
    <w:rsid w:val="0026004D"/>
    <w:rsid w:val="002640DD"/>
    <w:rsid w:val="002677E8"/>
    <w:rsid w:val="00270169"/>
    <w:rsid w:val="00275D12"/>
    <w:rsid w:val="00284FEB"/>
    <w:rsid w:val="002860C4"/>
    <w:rsid w:val="00296476"/>
    <w:rsid w:val="00296CDE"/>
    <w:rsid w:val="002A6188"/>
    <w:rsid w:val="002B5741"/>
    <w:rsid w:val="002C71BB"/>
    <w:rsid w:val="002D76D0"/>
    <w:rsid w:val="002E4336"/>
    <w:rsid w:val="002E472E"/>
    <w:rsid w:val="002E530D"/>
    <w:rsid w:val="002F0C90"/>
    <w:rsid w:val="002F522F"/>
    <w:rsid w:val="00305409"/>
    <w:rsid w:val="003447AF"/>
    <w:rsid w:val="003609EF"/>
    <w:rsid w:val="0036231A"/>
    <w:rsid w:val="00365ADC"/>
    <w:rsid w:val="003675BE"/>
    <w:rsid w:val="0037275A"/>
    <w:rsid w:val="00374DD4"/>
    <w:rsid w:val="00381172"/>
    <w:rsid w:val="00381FA9"/>
    <w:rsid w:val="003B1924"/>
    <w:rsid w:val="003E0057"/>
    <w:rsid w:val="003E16E3"/>
    <w:rsid w:val="003E1A36"/>
    <w:rsid w:val="00405AB7"/>
    <w:rsid w:val="00410371"/>
    <w:rsid w:val="00416378"/>
    <w:rsid w:val="00423597"/>
    <w:rsid w:val="004242F1"/>
    <w:rsid w:val="00431EEA"/>
    <w:rsid w:val="004509DA"/>
    <w:rsid w:val="004840F5"/>
    <w:rsid w:val="004A24E4"/>
    <w:rsid w:val="004B75B7"/>
    <w:rsid w:val="004E0AB2"/>
    <w:rsid w:val="004F766E"/>
    <w:rsid w:val="0051580D"/>
    <w:rsid w:val="00517027"/>
    <w:rsid w:val="00522B04"/>
    <w:rsid w:val="00547111"/>
    <w:rsid w:val="00592D74"/>
    <w:rsid w:val="005B5DC7"/>
    <w:rsid w:val="005B63E6"/>
    <w:rsid w:val="005C652F"/>
    <w:rsid w:val="005C77AA"/>
    <w:rsid w:val="005D2926"/>
    <w:rsid w:val="005E2C44"/>
    <w:rsid w:val="005F651C"/>
    <w:rsid w:val="006170A0"/>
    <w:rsid w:val="00621188"/>
    <w:rsid w:val="00625485"/>
    <w:rsid w:val="006257ED"/>
    <w:rsid w:val="00642DD0"/>
    <w:rsid w:val="0064404F"/>
    <w:rsid w:val="00665C47"/>
    <w:rsid w:val="00672128"/>
    <w:rsid w:val="00695808"/>
    <w:rsid w:val="006B46FB"/>
    <w:rsid w:val="006E21FB"/>
    <w:rsid w:val="006E4D7C"/>
    <w:rsid w:val="006F10DC"/>
    <w:rsid w:val="0070523C"/>
    <w:rsid w:val="007317E9"/>
    <w:rsid w:val="00735F80"/>
    <w:rsid w:val="00736299"/>
    <w:rsid w:val="0078231D"/>
    <w:rsid w:val="00792342"/>
    <w:rsid w:val="007977A8"/>
    <w:rsid w:val="007B512A"/>
    <w:rsid w:val="007C2097"/>
    <w:rsid w:val="007D2D72"/>
    <w:rsid w:val="007D666F"/>
    <w:rsid w:val="007D6A07"/>
    <w:rsid w:val="007E0F04"/>
    <w:rsid w:val="007F03BF"/>
    <w:rsid w:val="007F1F52"/>
    <w:rsid w:val="007F7259"/>
    <w:rsid w:val="008040A8"/>
    <w:rsid w:val="00814485"/>
    <w:rsid w:val="0082448C"/>
    <w:rsid w:val="00826C15"/>
    <w:rsid w:val="008279FA"/>
    <w:rsid w:val="008525BC"/>
    <w:rsid w:val="008626E7"/>
    <w:rsid w:val="008629F4"/>
    <w:rsid w:val="00870AED"/>
    <w:rsid w:val="00870EE7"/>
    <w:rsid w:val="008714BA"/>
    <w:rsid w:val="008863B9"/>
    <w:rsid w:val="008A4038"/>
    <w:rsid w:val="008A45A6"/>
    <w:rsid w:val="008C003F"/>
    <w:rsid w:val="008E11E5"/>
    <w:rsid w:val="008F04CF"/>
    <w:rsid w:val="008F3789"/>
    <w:rsid w:val="008F5AB7"/>
    <w:rsid w:val="008F686C"/>
    <w:rsid w:val="00903B6B"/>
    <w:rsid w:val="0091194E"/>
    <w:rsid w:val="009148DE"/>
    <w:rsid w:val="00933BF4"/>
    <w:rsid w:val="00941E30"/>
    <w:rsid w:val="009529A2"/>
    <w:rsid w:val="009542B0"/>
    <w:rsid w:val="00963679"/>
    <w:rsid w:val="0097431F"/>
    <w:rsid w:val="009777D9"/>
    <w:rsid w:val="00991B88"/>
    <w:rsid w:val="009A0CAC"/>
    <w:rsid w:val="009A0D93"/>
    <w:rsid w:val="009A0F45"/>
    <w:rsid w:val="009A5753"/>
    <w:rsid w:val="009A579D"/>
    <w:rsid w:val="009B08B8"/>
    <w:rsid w:val="009C4C2B"/>
    <w:rsid w:val="009D2402"/>
    <w:rsid w:val="009E0BA0"/>
    <w:rsid w:val="009E3297"/>
    <w:rsid w:val="009F734F"/>
    <w:rsid w:val="009F7C5F"/>
    <w:rsid w:val="00A00CD8"/>
    <w:rsid w:val="00A2153D"/>
    <w:rsid w:val="00A246B6"/>
    <w:rsid w:val="00A3208D"/>
    <w:rsid w:val="00A337E2"/>
    <w:rsid w:val="00A4135A"/>
    <w:rsid w:val="00A47E70"/>
    <w:rsid w:val="00A50CF0"/>
    <w:rsid w:val="00A55551"/>
    <w:rsid w:val="00A65DC6"/>
    <w:rsid w:val="00A66B2C"/>
    <w:rsid w:val="00A74FA5"/>
    <w:rsid w:val="00A75FBE"/>
    <w:rsid w:val="00A7671C"/>
    <w:rsid w:val="00AA2CBC"/>
    <w:rsid w:val="00AC2DAF"/>
    <w:rsid w:val="00AC5820"/>
    <w:rsid w:val="00AD03D2"/>
    <w:rsid w:val="00AD1CD8"/>
    <w:rsid w:val="00AE08F2"/>
    <w:rsid w:val="00B258BB"/>
    <w:rsid w:val="00B46D54"/>
    <w:rsid w:val="00B67B97"/>
    <w:rsid w:val="00B81D0A"/>
    <w:rsid w:val="00B86823"/>
    <w:rsid w:val="00B968C8"/>
    <w:rsid w:val="00BA3EC5"/>
    <w:rsid w:val="00BA51D9"/>
    <w:rsid w:val="00BB5DFC"/>
    <w:rsid w:val="00BC2887"/>
    <w:rsid w:val="00BC4D57"/>
    <w:rsid w:val="00BD279D"/>
    <w:rsid w:val="00BD2D3A"/>
    <w:rsid w:val="00BD6BB1"/>
    <w:rsid w:val="00BD6BB8"/>
    <w:rsid w:val="00BD7CFD"/>
    <w:rsid w:val="00BF0136"/>
    <w:rsid w:val="00BF0974"/>
    <w:rsid w:val="00C070C4"/>
    <w:rsid w:val="00C07D8A"/>
    <w:rsid w:val="00C307F0"/>
    <w:rsid w:val="00C55E5A"/>
    <w:rsid w:val="00C562B9"/>
    <w:rsid w:val="00C66BA2"/>
    <w:rsid w:val="00C81D9C"/>
    <w:rsid w:val="00C95985"/>
    <w:rsid w:val="00CB2285"/>
    <w:rsid w:val="00CC5026"/>
    <w:rsid w:val="00CC68D0"/>
    <w:rsid w:val="00CC783D"/>
    <w:rsid w:val="00CF1842"/>
    <w:rsid w:val="00CF7B07"/>
    <w:rsid w:val="00D03F9A"/>
    <w:rsid w:val="00D06D51"/>
    <w:rsid w:val="00D1360F"/>
    <w:rsid w:val="00D24991"/>
    <w:rsid w:val="00D356F6"/>
    <w:rsid w:val="00D45EBA"/>
    <w:rsid w:val="00D50255"/>
    <w:rsid w:val="00D66520"/>
    <w:rsid w:val="00D801A6"/>
    <w:rsid w:val="00DC6BA0"/>
    <w:rsid w:val="00DD07B8"/>
    <w:rsid w:val="00DE34CF"/>
    <w:rsid w:val="00DE59D4"/>
    <w:rsid w:val="00E055FF"/>
    <w:rsid w:val="00E13F3D"/>
    <w:rsid w:val="00E34898"/>
    <w:rsid w:val="00E348BB"/>
    <w:rsid w:val="00E37710"/>
    <w:rsid w:val="00E71913"/>
    <w:rsid w:val="00EA75CC"/>
    <w:rsid w:val="00EB09B7"/>
    <w:rsid w:val="00EB342B"/>
    <w:rsid w:val="00ED42A3"/>
    <w:rsid w:val="00EE7D7C"/>
    <w:rsid w:val="00F058CD"/>
    <w:rsid w:val="00F23018"/>
    <w:rsid w:val="00F25D98"/>
    <w:rsid w:val="00F300FB"/>
    <w:rsid w:val="00F56C2A"/>
    <w:rsid w:val="00F671D5"/>
    <w:rsid w:val="00F718E9"/>
    <w:rsid w:val="00F84177"/>
    <w:rsid w:val="00F93B71"/>
    <w:rsid w:val="00FB6386"/>
    <w:rsid w:val="00FE2F3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1225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75</cp:revision>
  <cp:lastPrinted>1900-01-01T00:00:00Z</cp:lastPrinted>
  <dcterms:created xsi:type="dcterms:W3CDTF">2024-02-08T14:14:00Z</dcterms:created>
  <dcterms:modified xsi:type="dcterms:W3CDTF">2024-08-09T21:24:00Z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